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4D" w:rsidRPr="00B84075" w:rsidRDefault="00D60261" w:rsidP="00B84075">
      <w:pPr>
        <w:shd w:val="clear" w:color="auto" w:fill="FFFFFF"/>
        <w:spacing w:after="0" w:line="0" w:lineRule="atLeast"/>
        <w:jc w:val="center"/>
        <w:rPr>
          <w:rFonts w:ascii="Tahoma" w:eastAsia="Times New Roman" w:hAnsi="Tahoma" w:cs="Tahoma"/>
          <w:color w:val="FF0000"/>
          <w:sz w:val="24"/>
          <w:szCs w:val="24"/>
          <w:lang w:eastAsia="it-IT"/>
        </w:rPr>
      </w:pPr>
      <w:bookmarkStart w:id="0" w:name="_GoBack"/>
      <w:bookmarkEnd w:id="0"/>
      <w:r w:rsidRPr="00B84075">
        <w:rPr>
          <w:rFonts w:ascii="Tahoma" w:eastAsia="Times New Roman" w:hAnsi="Tahoma" w:cs="Tahoma"/>
          <w:b/>
          <w:bCs/>
          <w:iCs/>
          <w:color w:val="FF0000"/>
          <w:sz w:val="24"/>
          <w:szCs w:val="24"/>
          <w:bdr w:val="none" w:sz="0" w:space="0" w:color="auto" w:frame="1"/>
          <w:lang w:eastAsia="it-IT"/>
        </w:rPr>
        <w:t>Invalidità, handicap e agevolazioni previste per legge</w:t>
      </w:r>
    </w:p>
    <w:p w:rsidR="00B84075" w:rsidRPr="00B84075" w:rsidRDefault="00B84075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</w:p>
    <w:p w:rsidR="0002284D" w:rsidRPr="00B84075" w:rsidRDefault="00D60261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Si definisce</w:t>
      </w:r>
      <w:r w:rsidR="0002284D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02284D"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invalidità civile</w:t>
      </w:r>
      <w:r w:rsidR="0002284D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una condizione di riduzione permanente o temporanea </w:t>
      </w:r>
      <w:r w:rsidR="0002284D" w:rsidRPr="00B84075">
        <w:rPr>
          <w:rFonts w:ascii="Tahoma" w:eastAsia="Times New Roman" w:hAnsi="Tahoma" w:cs="Tahoma"/>
          <w:sz w:val="20"/>
          <w:szCs w:val="20"/>
          <w:lang w:eastAsia="it-IT"/>
        </w:rPr>
        <w:t>dell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e</w:t>
      </w:r>
      <w:r w:rsidR="0002284D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capa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cità lavorativa di un individuo. </w:t>
      </w:r>
      <w:r w:rsidR="0002284D" w:rsidRPr="00B84075">
        <w:rPr>
          <w:rFonts w:ascii="Tahoma" w:eastAsia="Times New Roman" w:hAnsi="Tahoma" w:cs="Tahoma"/>
          <w:sz w:val="20"/>
          <w:szCs w:val="20"/>
          <w:lang w:eastAsia="it-IT"/>
        </w:rPr>
        <w:t>Per compensare chi ha una ridotta capacità lavorativa, sono previste delle agevolazioni: in particolare, i benefici sono riconosciuti, in maniera differente, a partire dal 33,33% d’invalidità.</w:t>
      </w: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vanish/>
          <w:sz w:val="20"/>
          <w:szCs w:val="20"/>
          <w:bdr w:val="none" w:sz="0" w:space="0" w:color="auto" w:frame="1"/>
          <w:lang w:eastAsia="it-IT"/>
        </w:rPr>
        <w:t>AdChoices</w:t>
      </w:r>
    </w:p>
    <w:p w:rsidR="00B84075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L’invalidità non deve essere confusa con l’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handicap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: il riconoscimento dell’handicap, secondo la 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legge 104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>, è 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infatti una condizione giuridica differente ed aggiuntiva rispetto allo stato d’invalido civile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che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dà diritto a benefici fiscali e agevolazioni lavorative diverse (come, ad esempio, i permessi retribuiti)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B84075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Bisogna innanzitutto precisare che lo status d’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invalido civile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è riconosciuto solo a partire da una percentuale di riduzione della capacità lavorativa superiore ai 1/3, cioè al </w:t>
      </w:r>
      <w:r w:rsidRPr="00B84075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33,33%.</w:t>
      </w:r>
      <w:r w:rsidR="00B84075" w:rsidRPr="00B84075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Per la persona con invalidità superiore a questa soglia è previsto il diritto a protesi ed ausili relativi alla patologia riconosciuta nel verbale di accertamento della commissione medica.</w:t>
      </w:r>
    </w:p>
    <w:p w:rsidR="00B84075" w:rsidRPr="00B84075" w:rsidRDefault="00B84075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La commissione medica</w:t>
      </w:r>
      <w:r w:rsidR="0002284D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inoltre, può, indipendentemente dalla percentuale d’invalidità, indicare sul verbale il diritto al contrassegno per usufruire dei </w:t>
      </w:r>
      <w:r w:rsidR="0002284D"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parcheggi per disabili</w:t>
      </w:r>
      <w:r w:rsidR="0002284D" w:rsidRPr="00B84075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B84075" w:rsidRPr="00B84075" w:rsidRDefault="00B84075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B84075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Chi possiede una percentuale d’invalidità sopra il </w:t>
      </w:r>
      <w:r w:rsidRPr="00B84075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45%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ha la possibilità di usufruire del </w:t>
      </w:r>
      <w:r w:rsidR="00B84075"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collocamento mirato.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Per questi soggetti, nonché per i non vedenti ed i sordomuti, è infatti previsto l’accesso ai servizi di sostegno e di collocamento dedicati: per usufruirne, gli interessati devono recarsi presso il centro per l’impiego, presentando, oltre al verbale di invalidità, la relazione conclusiva rilasciata dalla preposta commissione dell’Asl.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P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ossono iscriversi al collocamento mirato, senza dover richiedere la relazione conclusiva Asl, anche gli invalidi del lavoro con percentuale di riduzione della capacità lavorativa oltre il 33%, gli invalidi di guerra, gli invalidi civili di guerra e gli invalidi per servizio con minorazioni ascritte dalla prima all’ottava categoria.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I lavoratori con invalidità civile superiore al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45% possono essere conteggiati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dall’azienda nelle 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quote di riserva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relative alla legge sul collocamento obbligatorio, purché assunti almeno con un contratto part-time del 50% più un’ora (ad esempio, considerando un orario ordinario di 40 ore settimanali, saranno sufficienti 21 ore la settimana).</w:t>
      </w:r>
    </w:p>
    <w:p w:rsidR="00B84075" w:rsidRPr="00B84075" w:rsidRDefault="00B84075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B84075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I lavoratori invalidi oltre il </w:t>
      </w:r>
      <w:r w:rsidRPr="00B84075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50%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possono fruire di un 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congedo per cure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rela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>tive all’infermità riconosciuta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per un periodo non superiore a 30 giorni l’anno. Questo congedo è indennizzato come l’assenza per malattia. </w:t>
      </w:r>
    </w:p>
    <w:p w:rsidR="00B84075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A partire dal 60% d’invalidità, il dipendente ha la possibilità di essere computato nella 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quota di riserva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dell’impresa nella quale è già assunto, a prescindere dall’orario del contratto. Il beneficio non è riconosciuto se l’inabilità è stata causata da un inadempimento del datore di lavoro.</w:t>
      </w:r>
    </w:p>
    <w:p w:rsidR="00B84075" w:rsidRPr="00B84075" w:rsidRDefault="00B84075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Per chi possiede </w:t>
      </w:r>
      <w:r w:rsidRPr="00B84075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un’</w:t>
      </w:r>
      <w:r w:rsidRPr="00B8407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invalidità superiore ai 2/3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, è prevista l’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esenzione totale dal ticket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sulle prestazioni specialistiche e di diagnosi strumentale. Si può godere inoltre di un’agevolazione per il pagamento dei medicinali prescritti con ricetta medica.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Se dipendenti pubblici, gli invalidi superiori ai due terzi hanno diritto di 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scelta prioritaria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tra le sedi disponibili, come prescritto dalla Legge 104</w:t>
      </w:r>
      <w:r w:rsidR="00B84075" w:rsidRPr="00B84075">
        <w:rPr>
          <w:rFonts w:ascii="Tahoma" w:eastAsia="Times New Roman" w:hAnsi="Tahoma" w:cs="Tahoma"/>
          <w:bCs/>
          <w:sz w:val="20"/>
          <w:szCs w:val="20"/>
          <w:lang w:eastAsia="it-IT"/>
        </w:rPr>
        <w:t>.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I lavoratori con invalidità superiore ai 2/3 hanno poi diritto, con almeno 5 anni di contributi, di cui 3 versati nell’ultimo quinquennio, all’</w:t>
      </w:r>
      <w:hyperlink r:id="rId7" w:history="1">
        <w:r w:rsidRPr="00B84075">
          <w:rPr>
            <w:rFonts w:ascii="Tahoma" w:eastAsia="Times New Roman" w:hAnsi="Tahoma" w:cs="Tahoma"/>
            <w:b/>
            <w:sz w:val="20"/>
            <w:szCs w:val="20"/>
            <w:bdr w:val="none" w:sz="0" w:space="0" w:color="auto" w:frame="1"/>
            <w:lang w:eastAsia="it-IT"/>
          </w:rPr>
          <w:t>assegno ordinario d’invalidità</w:t>
        </w:r>
      </w:hyperlink>
      <w:r w:rsidRPr="00B84075">
        <w:rPr>
          <w:rFonts w:ascii="Tahoma" w:eastAsia="Times New Roman" w:hAnsi="Tahoma" w:cs="Tahoma"/>
          <w:b/>
          <w:sz w:val="20"/>
          <w:szCs w:val="20"/>
          <w:lang w:eastAsia="it-IT"/>
        </w:rPr>
        <w:t>.</w:t>
      </w:r>
    </w:p>
    <w:p w:rsidR="00B84075" w:rsidRDefault="00B84075" w:rsidP="00B84075">
      <w:pPr>
        <w:shd w:val="clear" w:color="auto" w:fill="FFFFFF"/>
        <w:spacing w:after="0" w:line="0" w:lineRule="atLeast"/>
        <w:jc w:val="both"/>
        <w:outlineLvl w:val="1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it-IT"/>
        </w:rPr>
      </w:pP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Gli invalidi civili dal </w:t>
      </w:r>
      <w:r w:rsidRPr="0084403A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74%</w:t>
      </w:r>
      <w:r w:rsidRPr="0084403A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hanno diritto a un 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assegno di assistenza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, concesso dai 18 ai 65 anni, il cui importo è di 282,55 euro mensili per il 2018, con un limite di reddito di 4.853,59 euro.</w:t>
      </w:r>
      <w:r w:rsidR="00B84075"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La </w:t>
      </w:r>
      <w:hyperlink r:id="rId8" w:history="1">
        <w:r w:rsidRPr="00B84075">
          <w:rPr>
            <w:rFonts w:ascii="Tahoma" w:eastAsia="Times New Roman" w:hAnsi="Tahoma" w:cs="Tahoma"/>
            <w:b/>
            <w:bCs/>
            <w:sz w:val="20"/>
            <w:szCs w:val="20"/>
            <w:bdr w:val="none" w:sz="0" w:space="0" w:color="auto" w:frame="1"/>
            <w:lang w:eastAsia="it-IT"/>
          </w:rPr>
          <w:t xml:space="preserve">pensione d’invalidità civile </w:t>
        </w:r>
      </w:hyperlink>
      <w:r w:rsidRPr="00B84075">
        <w:rPr>
          <w:rFonts w:ascii="Tahoma" w:eastAsia="Times New Roman" w:hAnsi="Tahoma" w:cs="Tahoma"/>
          <w:sz w:val="20"/>
          <w:szCs w:val="20"/>
          <w:lang w:eastAsia="it-IT"/>
        </w:rPr>
        <w:t>non richiede, come l’assegno d’invalidità ordinaria (categoria IO) il pagamento di un minimo di contributi all’Inps; la prestazione è incompatibile con qualsiasi pensione diretta d’invalidità a carico dell’Ago (assicurazione generale obbligatoria), e con tutte le prestazioni pensionistiche d’invalidità per causa di guerra, di lavoro o di servizio, comprese le rendite Inail. L’interessato può comunque optare per il trattamento più favorevole.</w:t>
      </w:r>
    </w:p>
    <w:p w:rsidR="0084403A" w:rsidRDefault="0084403A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it-IT"/>
        </w:rPr>
      </w:pP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Per chi </w:t>
      </w:r>
      <w:r w:rsidRPr="0084403A">
        <w:rPr>
          <w:rFonts w:ascii="Tahoma" w:eastAsia="Times New Roman" w:hAnsi="Tahoma" w:cs="Tahoma"/>
          <w:sz w:val="20"/>
          <w:szCs w:val="20"/>
          <w:lang w:eastAsia="it-IT"/>
        </w:rPr>
        <w:t>ha un’</w:t>
      </w:r>
      <w:r w:rsidRPr="0084403A">
        <w:rPr>
          <w:rFonts w:ascii="Tahoma" w:eastAsia="Times New Roman" w:hAnsi="Tahoma" w:cs="Tahoma"/>
          <w:bCs/>
          <w:sz w:val="20"/>
          <w:szCs w:val="20"/>
          <w:lang w:eastAsia="it-IT"/>
        </w:rPr>
        <w:t>invalidità dal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</w:t>
      </w:r>
      <w:r w:rsidRPr="0084403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75%</w:t>
      </w:r>
      <w:r w:rsidRPr="0084403A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sono previsti dei benefici pensionistici: nel dettaglio, per ogni anno lavorato sono accreditati 2 mesi di contributi in più, sino ad un massimo di 5 anni. L’agevolazione può essere riconosciuta dal 2002 in poi.</w:t>
      </w:r>
    </w:p>
    <w:p w:rsidR="0084403A" w:rsidRDefault="0084403A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it-IT"/>
        </w:rPr>
      </w:pP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Per coloro che hanno un’invalidità dell’</w:t>
      </w:r>
      <w:r w:rsidRPr="0084403A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80%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e oltre, è pr</w:t>
      </w:r>
      <w:r w:rsidR="0084403A">
        <w:rPr>
          <w:rFonts w:ascii="Tahoma" w:eastAsia="Times New Roman" w:hAnsi="Tahoma" w:cs="Tahoma"/>
          <w:sz w:val="20"/>
          <w:szCs w:val="20"/>
          <w:lang w:eastAsia="it-IT"/>
        </w:rPr>
        <w:t>evisto, grazie alla Deroga Amat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, l’</w:t>
      </w: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accesso anticipato alla pensione di vecchiaia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, con 55 anni e 7 mesi d’età, per le donne, e 60 </w:t>
      </w:r>
      <w:r w:rsidR="0084403A">
        <w:rPr>
          <w:rFonts w:ascii="Tahoma" w:eastAsia="Times New Roman" w:hAnsi="Tahoma" w:cs="Tahoma"/>
          <w:sz w:val="20"/>
          <w:szCs w:val="20"/>
          <w:lang w:eastAsia="it-IT"/>
        </w:rPr>
        <w:t>anni e 7 mesi, per gli uomini (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dal 2019 i requisiti saranno pari, rispettivamente, a 56 anni e 61 anni ).</w:t>
      </w:r>
    </w:p>
    <w:p w:rsidR="0084403A" w:rsidRDefault="0084403A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it-IT"/>
        </w:rPr>
      </w:pP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84403A">
        <w:rPr>
          <w:rFonts w:ascii="Tahoma" w:eastAsia="Times New Roman" w:hAnsi="Tahoma" w:cs="Tahoma"/>
          <w:sz w:val="20"/>
          <w:szCs w:val="20"/>
          <w:lang w:eastAsia="it-IT"/>
        </w:rPr>
        <w:t xml:space="preserve">Chi è </w:t>
      </w:r>
      <w:r w:rsidRPr="0084403A">
        <w:rPr>
          <w:rFonts w:ascii="Tahoma" w:eastAsia="Times New Roman" w:hAnsi="Tahoma" w:cs="Tahoma"/>
          <w:bCs/>
          <w:sz w:val="20"/>
          <w:szCs w:val="20"/>
          <w:lang w:eastAsia="it-IT"/>
        </w:rPr>
        <w:t>invalido al</w:t>
      </w:r>
      <w:r w:rsidRPr="0084403A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</w:t>
      </w:r>
      <w:r w:rsidRPr="0084403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100%</w:t>
      </w:r>
      <w:r w:rsidRPr="0084403A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 xml:space="preserve"> 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può fruire dei seguenti benefici:</w:t>
      </w:r>
    </w:p>
    <w:p w:rsidR="0002284D" w:rsidRPr="00B84075" w:rsidRDefault="0002284D" w:rsidP="0084403A">
      <w:pPr>
        <w:numPr>
          <w:ilvl w:val="0"/>
          <w:numId w:val="4"/>
        </w:numPr>
        <w:shd w:val="clear" w:color="auto" w:fill="FFFFFF"/>
        <w:spacing w:after="0" w:line="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esenzione dal ticket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per le prestazioni mediche specialistiche, diagnostiche e sui medicinali;</w:t>
      </w:r>
    </w:p>
    <w:p w:rsidR="0002284D" w:rsidRPr="00B84075" w:rsidRDefault="0002284D" w:rsidP="0084403A">
      <w:pPr>
        <w:numPr>
          <w:ilvl w:val="0"/>
          <w:numId w:val="4"/>
        </w:numPr>
        <w:shd w:val="clear" w:color="auto" w:fill="FFFFFF"/>
        <w:spacing w:after="0" w:line="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pensione per invalidi civili totali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, concessa per chi ha un reddito sino a 16.664,36 euro (per l’anno 2018), ed è compatibile, sino al limite di reddito, con l’assegno ordinario d’invalidità;</w:t>
      </w:r>
    </w:p>
    <w:p w:rsidR="0002284D" w:rsidRPr="00B84075" w:rsidRDefault="0002284D" w:rsidP="0084403A">
      <w:pPr>
        <w:numPr>
          <w:ilvl w:val="0"/>
          <w:numId w:val="4"/>
        </w:numPr>
        <w:shd w:val="clear" w:color="auto" w:fill="FFFFFF"/>
        <w:spacing w:after="0" w:line="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lastRenderedPageBreak/>
        <w:t>pensione per inabilità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permanente ed assoluta a qualsiasi attività lavorativa, se si possiedono almeno 5 anni di contributi, di cui 3 accreditati nell’ultimo quinquennio.</w:t>
      </w:r>
    </w:p>
    <w:p w:rsidR="0002284D" w:rsidRPr="0084403A" w:rsidRDefault="0002284D" w:rsidP="0084403A">
      <w:pPr>
        <w:pStyle w:val="Paragrafoelenco"/>
        <w:numPr>
          <w:ilvl w:val="0"/>
          <w:numId w:val="4"/>
        </w:numPr>
        <w:shd w:val="clear" w:color="auto" w:fill="FFFFFF"/>
        <w:spacing w:after="0" w:line="0" w:lineRule="atLeast"/>
        <w:ind w:left="426" w:hanging="426"/>
        <w:jc w:val="both"/>
        <w:outlineLvl w:val="1"/>
        <w:rPr>
          <w:rFonts w:ascii="Tahoma" w:eastAsia="Times New Roman" w:hAnsi="Tahoma" w:cs="Tahoma"/>
          <w:sz w:val="20"/>
          <w:szCs w:val="20"/>
          <w:lang w:eastAsia="it-IT"/>
        </w:rPr>
      </w:pPr>
      <w:r w:rsidRPr="0084403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it-IT"/>
        </w:rPr>
        <w:t>Assegno d’accompagnamento</w:t>
      </w: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Si ha diritto all’</w:t>
      </w:r>
      <w:hyperlink r:id="rId9" w:history="1">
        <w:r w:rsidRPr="00B84075">
          <w:rPr>
            <w:rFonts w:ascii="Tahoma" w:eastAsia="Times New Roman" w:hAnsi="Tahoma" w:cs="Tahoma"/>
            <w:b/>
            <w:bCs/>
            <w:sz w:val="20"/>
            <w:szCs w:val="20"/>
            <w:bdr w:val="none" w:sz="0" w:space="0" w:color="auto" w:frame="1"/>
            <w:lang w:eastAsia="it-IT"/>
          </w:rPr>
          <w:t>indennità di accompagnamento</w:t>
        </w:r>
      </w:hyperlink>
      <w:r w:rsidRPr="00B84075">
        <w:rPr>
          <w:rFonts w:ascii="Tahoma" w:eastAsia="Times New Roman" w:hAnsi="Tahoma" w:cs="Tahoma"/>
          <w:sz w:val="20"/>
          <w:szCs w:val="20"/>
          <w:lang w:eastAsia="it-IT"/>
        </w:rPr>
        <w:t>, pari a 516,35 euro mensili (l’importo è adeguato annualmente). L’assegno è riconosciuto, indipendentemente dal reddito, a chi è impossibilitato a compiere gli atti quotidiani della vita o a chi non può deambulare senza l’aiuto di un’altra persona.</w:t>
      </w:r>
    </w:p>
    <w:p w:rsidR="0084403A" w:rsidRDefault="0084403A" w:rsidP="00B84075">
      <w:pPr>
        <w:shd w:val="clear" w:color="auto" w:fill="FFFFFF"/>
        <w:spacing w:after="0" w:line="0" w:lineRule="atLeast"/>
        <w:jc w:val="both"/>
        <w:outlineLvl w:val="1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it-IT"/>
        </w:rPr>
      </w:pPr>
    </w:p>
    <w:p w:rsidR="0002284D" w:rsidRPr="0084403A" w:rsidRDefault="0002284D" w:rsidP="00B84075">
      <w:pPr>
        <w:shd w:val="clear" w:color="auto" w:fill="FFFFFF"/>
        <w:spacing w:after="0" w:line="0" w:lineRule="atLeast"/>
        <w:jc w:val="both"/>
        <w:outlineLvl w:val="1"/>
        <w:rPr>
          <w:rFonts w:ascii="Tahoma" w:eastAsia="Times New Roman" w:hAnsi="Tahoma" w:cs="Tahoma"/>
          <w:color w:val="FF0000"/>
          <w:sz w:val="20"/>
          <w:szCs w:val="20"/>
          <w:lang w:eastAsia="it-IT"/>
        </w:rPr>
      </w:pPr>
      <w:r w:rsidRPr="0084403A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it-IT"/>
        </w:rPr>
        <w:t>Agevolazioni legge 104</w:t>
      </w:r>
    </w:p>
    <w:p w:rsidR="0084403A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Le agevolazioni previste </w:t>
      </w:r>
      <w:r w:rsidR="0084403A">
        <w:rPr>
          <w:rFonts w:ascii="Tahoma" w:eastAsia="Times New Roman" w:hAnsi="Tahoma" w:cs="Tahoma"/>
          <w:sz w:val="20"/>
          <w:szCs w:val="20"/>
          <w:lang w:eastAsia="it-IT"/>
        </w:rPr>
        <w:t>in questo caso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 xml:space="preserve"> non sono collegate allo stato d’invalidità, ma al riconoscimento di un handicap in situazione di gravità</w:t>
      </w:r>
      <w:r w:rsidR="0084403A">
        <w:rPr>
          <w:rFonts w:ascii="Tahoma" w:eastAsia="Times New Roman" w:hAnsi="Tahoma" w:cs="Tahoma"/>
          <w:sz w:val="20"/>
          <w:szCs w:val="20"/>
          <w:lang w:eastAsia="it-IT"/>
        </w:rPr>
        <w:t xml:space="preserve"> (Articolo 3 Comma 3 Legge 104/92)</w:t>
      </w: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.</w:t>
      </w:r>
      <w:r w:rsidR="0084403A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</w:p>
    <w:p w:rsidR="0002284D" w:rsidRPr="00B84075" w:rsidRDefault="0002284D" w:rsidP="00B84075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Ecco i principali benefici previsti dalla legge 104: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permessi retribuiti pari a 3 giorni al mese (riconosciuti al disabile e al lavoratore che lo assiste);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congedo straordinario di due anni (riconosciuti solo al lavoratore che assiste un familiare disabile);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rifiuto al trasferimento;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diritto alla scelta della sede;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rifiuto di svolgere lavoro notturno;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agevolazione per l’acquisto di veicoli;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deduzione delle spese mediche e di assistenza specifica;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detrazione delle spese sanitarie per disabili;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detrazione dei costi per l’abbattimento di barriere architettoniche;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detrazione dei costi di assistenza;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agevolazione per l’acquisto di pc e sussidi informatici;</w:t>
      </w:r>
    </w:p>
    <w:p w:rsidR="0002284D" w:rsidRPr="00B84075" w:rsidRDefault="0002284D" w:rsidP="00B84075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84075">
        <w:rPr>
          <w:rFonts w:ascii="Tahoma" w:eastAsia="Times New Roman" w:hAnsi="Tahoma" w:cs="Tahoma"/>
          <w:sz w:val="20"/>
          <w:szCs w:val="20"/>
          <w:lang w:eastAsia="it-IT"/>
        </w:rPr>
        <w:t>agevolazione nell’imposta su successioni e donazioni.</w:t>
      </w:r>
    </w:p>
    <w:p w:rsidR="00567BE3" w:rsidRPr="00D60261" w:rsidRDefault="00567BE3" w:rsidP="00B84075">
      <w:pPr>
        <w:spacing w:before="100" w:beforeAutospacing="1" w:after="100" w:afterAutospacing="1" w:line="240" w:lineRule="atLeast"/>
        <w:rPr>
          <w:rFonts w:ascii="Tahoma" w:hAnsi="Tahoma" w:cs="Tahoma"/>
        </w:rPr>
      </w:pPr>
    </w:p>
    <w:sectPr w:rsidR="00567BE3" w:rsidRPr="00D60261" w:rsidSect="008B239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1B" w:rsidRDefault="002A571B" w:rsidP="0002284D">
      <w:pPr>
        <w:spacing w:after="0" w:line="240" w:lineRule="auto"/>
      </w:pPr>
      <w:r>
        <w:separator/>
      </w:r>
    </w:p>
  </w:endnote>
  <w:endnote w:type="continuationSeparator" w:id="0">
    <w:p w:rsidR="002A571B" w:rsidRDefault="002A571B" w:rsidP="000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1B" w:rsidRDefault="002A571B" w:rsidP="0002284D">
      <w:pPr>
        <w:spacing w:after="0" w:line="240" w:lineRule="auto"/>
      </w:pPr>
      <w:r>
        <w:separator/>
      </w:r>
    </w:p>
  </w:footnote>
  <w:footnote w:type="continuationSeparator" w:id="0">
    <w:p w:rsidR="002A571B" w:rsidRDefault="002A571B" w:rsidP="000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875CC"/>
    <w:multiLevelType w:val="hybridMultilevel"/>
    <w:tmpl w:val="EF0E6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24BA"/>
    <w:multiLevelType w:val="multilevel"/>
    <w:tmpl w:val="785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0487F"/>
    <w:multiLevelType w:val="multilevel"/>
    <w:tmpl w:val="C61A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D194B"/>
    <w:multiLevelType w:val="multilevel"/>
    <w:tmpl w:val="1E3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4D"/>
    <w:rsid w:val="0002284D"/>
    <w:rsid w:val="002A571B"/>
    <w:rsid w:val="003324F8"/>
    <w:rsid w:val="0035358F"/>
    <w:rsid w:val="00422B7E"/>
    <w:rsid w:val="00567BE3"/>
    <w:rsid w:val="006C2B91"/>
    <w:rsid w:val="0084403A"/>
    <w:rsid w:val="008B2393"/>
    <w:rsid w:val="00B84075"/>
    <w:rsid w:val="00D60261"/>
    <w:rsid w:val="00DB5683"/>
    <w:rsid w:val="00EE35B3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C3FB27-1F90-47A4-A69C-735D653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2284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2284D"/>
    <w:pPr>
      <w:spacing w:before="300" w:after="150" w:line="240" w:lineRule="auto"/>
      <w:outlineLvl w:val="1"/>
    </w:pPr>
    <w:rPr>
      <w:rFonts w:ascii="inherit" w:eastAsia="Times New Roman" w:hAnsi="inherit" w:cs="Times New Roman"/>
      <w:color w:val="FFFFFF"/>
      <w:sz w:val="45"/>
      <w:szCs w:val="4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84D"/>
    <w:rPr>
      <w:rFonts w:ascii="inherit" w:eastAsia="Times New Roman" w:hAnsi="inherit" w:cs="Times New Roman"/>
      <w:kern w:val="36"/>
      <w:sz w:val="54"/>
      <w:szCs w:val="5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284D"/>
    <w:rPr>
      <w:rFonts w:ascii="inherit" w:eastAsia="Times New Roman" w:hAnsi="inherit" w:cs="Times New Roman"/>
      <w:color w:val="FFFFFF"/>
      <w:sz w:val="45"/>
      <w:szCs w:val="4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284D"/>
    <w:rPr>
      <w:strike w:val="0"/>
      <w:dstrike w:val="0"/>
      <w:color w:val="337AB7"/>
      <w:u w:val="none"/>
      <w:effect w:val="none"/>
      <w:bdr w:val="none" w:sz="0" w:space="0" w:color="auto" w:frame="1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02284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228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ctitle2">
    <w:name w:val="toc_title2"/>
    <w:basedOn w:val="Normale"/>
    <w:rsid w:val="000228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2284D"/>
    <w:rPr>
      <w:i/>
      <w:iCs/>
    </w:rPr>
  </w:style>
  <w:style w:type="character" w:customStyle="1" w:styleId="tocnumber">
    <w:name w:val="toc_number"/>
    <w:basedOn w:val="Carpredefinitoparagrafo"/>
    <w:rsid w:val="0002284D"/>
    <w:rPr>
      <w:bdr w:val="none" w:sz="0" w:space="0" w:color="auto" w:frame="1"/>
    </w:rPr>
  </w:style>
  <w:style w:type="paragraph" w:styleId="Paragrafoelenco">
    <w:name w:val="List Paragraph"/>
    <w:basedOn w:val="Normale"/>
    <w:uiPriority w:val="34"/>
    <w:qFormat/>
    <w:rsid w:val="0084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556">
                  <w:marLeft w:val="0"/>
                  <w:marRight w:val="0"/>
                  <w:marTop w:val="2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9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0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632022">
                              <w:marLeft w:val="0"/>
                              <w:marRight w:val="0"/>
                              <w:marTop w:val="75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7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7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614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1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7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73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6230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25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59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6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1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9706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8" w:color="FFFFFF"/>
                                            <w:left w:val="single" w:sz="6" w:space="8" w:color="FFFFFF"/>
                                            <w:bottom w:val="single" w:sz="6" w:space="8" w:color="FFFFFF"/>
                                            <w:right w:val="single" w:sz="6" w:space="8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leggepertutti.it/186122_pensione-dinvalidita-civile-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leggepertutti.it/240691_assegno-ordinario-dinvalid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leggepertutti.it/190070_indennita-di-accompagnamento-20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Fossati Stefano</dc:creator>
  <cp:keywords/>
  <dc:description/>
  <cp:lastModifiedBy>Giovanni Benvegna</cp:lastModifiedBy>
  <cp:revision>2</cp:revision>
  <dcterms:created xsi:type="dcterms:W3CDTF">2020-11-07T15:57:00Z</dcterms:created>
  <dcterms:modified xsi:type="dcterms:W3CDTF">2020-11-07T15:57:00Z</dcterms:modified>
</cp:coreProperties>
</file>